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Lato" w:cs="Lato" w:eastAsia="Lato" w:hAnsi="Lato"/>
          <w:color w:val="243f6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color w:val="243f61"/>
          <w:sz w:val="26"/>
          <w:szCs w:val="26"/>
          <w:rtl w:val="0"/>
        </w:rPr>
        <w:t xml:space="preserve">Service Level Agreement (SLA)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**Effective Date:** January 1, 2024  </w:t>
        <w:br w:type="textWrapping"/>
        <w:t xml:space="preserve">**Parties Involved:**  </w:t>
        <w:br w:type="textWrapping"/>
        <w:t xml:space="preserve">- **Service Provider:** BrightWave Marketing, LLC  </w:t>
        <w:br w:type="textWrapping"/>
        <w:t xml:space="preserve">- **Client:** [Client Name]  </w:t>
        <w:br w:type="textWrapping"/>
      </w:r>
    </w:p>
    <w:p w:rsidR="00000000" w:rsidDel="00000000" w:rsidP="00000000" w:rsidRDefault="00000000" w:rsidRPr="00000000" w14:paraId="00000003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This SLA outlines the terms and scope of digital marketing services provided by BrightWave Marketing, LLC to [Client Name]. The agreement ensures mutual understanding of service expectations, timelines, and performance metrics to achieve marketing objectives.</w:t>
        <w:br w:type="textWrapping"/>
      </w:r>
    </w:p>
    <w:p w:rsidR="00000000" w:rsidDel="00000000" w:rsidP="00000000" w:rsidRDefault="00000000" w:rsidRPr="00000000" w14:paraId="00000005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2. Scope of Services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BrightWave Marketing, LLC agrees to provide the following services:  </w:t>
        <w:br w:type="textWrapping"/>
        <w:t xml:space="preserve">1. **Content Marketing:**  </w:t>
        <w:br w:type="textWrapping"/>
        <w:t xml:space="preserve">   - Blog posts, social media captions, newsletters, and long-form content.  </w:t>
        <w:br w:type="textWrapping"/>
        <w:t xml:space="preserve">2. **Search Engine Optimization (SEO):**  </w:t>
        <w:br w:type="textWrapping"/>
        <w:t xml:space="preserve">   - Keyword research, on-page and off-page SEO, technical audits, and link building.  </w:t>
        <w:br w:type="textWrapping"/>
        <w:t xml:space="preserve">3. **Paid Media Campaigns:**  </w:t>
        <w:br w:type="textWrapping"/>
        <w:t xml:space="preserve">   - Strategy, execution, and management of PPC, social media ads, and display ads.  </w:t>
        <w:br w:type="textWrapping"/>
        <w:t xml:space="preserve">4. **Analytics and Reporting:**  </w:t>
        <w:br w:type="textWrapping"/>
        <w:t xml:space="preserve">   - Monthly performance reports and campaign insights.  </w:t>
        <w:br w:type="textWrapping"/>
        <w:t xml:space="preserve">5. **Social Media Management:**  </w:t>
        <w:br w:type="textWrapping"/>
        <w:t xml:space="preserve">   - Posting, community engagement, and performance optimization.  </w:t>
        <w:br w:type="textWrapping"/>
      </w:r>
    </w:p>
    <w:p w:rsidR="00000000" w:rsidDel="00000000" w:rsidP="00000000" w:rsidRDefault="00000000" w:rsidRPr="00000000" w14:paraId="00000007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3. Service Availability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**Standard Operating Hours:** Monday–Friday, 9:00 AM–6:00 PM.  </w:t>
        <w:br w:type="textWrapping"/>
        <w:t xml:space="preserve">- **Support Hours:** Email support available during operating hours.  </w:t>
        <w:br w:type="textWrapping"/>
        <w:t xml:space="preserve">- **Emergency Support:** Response within 4 hours for critical issues affecting active campaigns.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4. Service Levels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**Response Times:**  </w:t>
        <w:br w:type="textWrapping"/>
        <w:t xml:space="preserve">- **Standard Queries:** Response within 24 business hours.  </w:t>
        <w:br w:type="textWrapping"/>
        <w:t xml:space="preserve">- **Critical Issues:** Response within 4 business hours.  </w:t>
        <w:br w:type="textWrapping"/>
        <w:br w:type="textWrapping"/>
        <w:t xml:space="preserve">**Deliverables Timelines:**  </w:t>
        <w:br w:type="textWrapping"/>
        <w:t xml:space="preserve">- Blog Posts: Delivered within 5 business days of topic approval.  </w:t>
        <w:br w:type="textWrapping"/>
        <w:t xml:space="preserve">- Paid Campaign Setup: Completed within 10 business days of strategy approval.  </w:t>
        <w:br w:type="textWrapping"/>
        <w:t xml:space="preserve">- Monthly Reports: Delivered by the 5th business day of each month.  </w:t>
        <w:br w:type="textWrapping"/>
      </w:r>
    </w:p>
    <w:p w:rsidR="00000000" w:rsidDel="00000000" w:rsidP="00000000" w:rsidRDefault="00000000" w:rsidRPr="00000000" w14:paraId="0000000B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5. Responsibilities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**Service Provider Responsibilities:**  </w:t>
        <w:br w:type="textWrapping"/>
        <w:t xml:space="preserve">- Deliver services as per the agreed scope and timelines.  </w:t>
        <w:br w:type="textWrapping"/>
        <w:t xml:space="preserve">- Maintain confidentiality of client data and adhere to ethical marketing practices.  </w:t>
        <w:br w:type="textWrapping"/>
        <w:t xml:space="preserve">- Provide regular updates and transparent communication.  </w:t>
        <w:br w:type="textWrapping"/>
        <w:br w:type="textWrapping"/>
        <w:t xml:space="preserve">**Client Responsibilities:**  </w:t>
        <w:br w:type="textWrapping"/>
        <w:t xml:space="preserve">- Provide timely feedback and approvals.  </w:t>
        <w:br w:type="textWrapping"/>
        <w:t xml:space="preserve">- Supply necessary materials (e.g., brand guidelines, logos, and access to accounts).  </w:t>
        <w:br w:type="textWrapping"/>
        <w:t xml:space="preserve">- Notify the service provider of any changes to marketing objectives or priorities.  </w:t>
        <w:br w:type="textWrapping"/>
      </w:r>
    </w:p>
    <w:p w:rsidR="00000000" w:rsidDel="00000000" w:rsidP="00000000" w:rsidRDefault="00000000" w:rsidRPr="00000000" w14:paraId="0000000D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6. Exclusions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This SLA does not cover:  </w:t>
        <w:br w:type="textWrapping"/>
        <w:t xml:space="preserve">- Third-party platform outages or failures (e.g., Facebook, Google Ads).  </w:t>
        <w:br w:type="textWrapping"/>
        <w:t xml:space="preserve">- Delays caused by incomplete or late client submissions.  </w:t>
        <w:br w:type="textWrapping"/>
        <w:t xml:space="preserve">- Services outside the agreed scope, such as website redesign or video production.  </w:t>
        <w:br w:type="textWrapping"/>
      </w:r>
    </w:p>
    <w:p w:rsidR="00000000" w:rsidDel="00000000" w:rsidP="00000000" w:rsidRDefault="00000000" w:rsidRPr="00000000" w14:paraId="0000000F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7. Performance Metrics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BrightWave Marketing, LLC agrees to maintain:  </w:t>
        <w:br w:type="textWrapping"/>
        <w:t xml:space="preserve">- 90% adherence to campaign launch deadlines.  </w:t>
        <w:br w:type="textWrapping"/>
        <w:t xml:space="preserve">- 95% client satisfaction rating based on quarterly feedback.  </w:t>
        <w:br w:type="textWrapping"/>
        <w:t xml:space="preserve">- 85% achievement of agreed campaign KPIs.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8. Reporting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The service provider will deliver:  </w:t>
        <w:br w:type="textWrapping"/>
        <w:t xml:space="preserve">- **Monthly Reports:** Metrics on campaign performance, ROI, and actionable insights.  </w:t>
        <w:br w:type="textWrapping"/>
        <w:t xml:space="preserve">- **Quarterly Strategy Review:** Suggestions for optimizing future campaigns.  </w:t>
        <w:br w:type="textWrapping"/>
      </w:r>
    </w:p>
    <w:p w:rsidR="00000000" w:rsidDel="00000000" w:rsidP="00000000" w:rsidRDefault="00000000" w:rsidRPr="00000000" w14:paraId="00000013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9. Term and Termination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**Term:** This SLA is effective from January 1, 2024, and remains valid for one year.  </w:t>
        <w:br w:type="textWrapping"/>
        <w:t xml:space="preserve">- **Renewal:** Automatic renewal unless terminated by either party with 30 days’ written notice.  </w:t>
        <w:br w:type="textWrapping"/>
        <w:t xml:space="preserve">- **Termination for Cause:** Either party may terminate if the other fails to meet SLA obligations after a 30-day remediation period.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10. Pricing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**Monthly Retainer Fee:** $[amount], inclusive of services outlined in the scope.  </w:t>
        <w:br w:type="textWrapping"/>
        <w:t xml:space="preserve">- **Hourly Rate for Additional Services:** $[amount]/hour.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11. Dispute Resolution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color w:val="00aeef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Disputes arising from this SLA will be resolved through good faith discussions. If unresolved, disputes may be escalated to arbitration under [jurisdiction] law.  </w:t>
        <w:br w:type="textWrapping"/>
      </w:r>
    </w:p>
    <w:p w:rsidR="00000000" w:rsidDel="00000000" w:rsidP="00000000" w:rsidRDefault="00000000" w:rsidRPr="00000000" w14:paraId="00000019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12. Agreement and Signatures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**Service Provider:**  </w:t>
        <w:br w:type="textWrapping"/>
        <w:t xml:space="preserve">Name: _______________________  </w:t>
        <w:br w:type="textWrapping"/>
        <w:t xml:space="preserve">Signature: _______________________  </w:t>
        <w:br w:type="textWrapping"/>
        <w:t xml:space="preserve">Date: _______________________  </w:t>
        <w:br w:type="textWrapping"/>
        <w:br w:type="textWrapping"/>
        <w:t xml:space="preserve">**Client:**  </w:t>
        <w:br w:type="textWrapping"/>
        <w:t xml:space="preserve">Name: _______________________  </w:t>
        <w:br w:type="textWrapping"/>
        <w:t xml:space="preserve">Signature: _______________________  </w:t>
        <w:br w:type="textWrapping"/>
        <w:t xml:space="preserve">Date: _______________________  </w:t>
      </w:r>
      <w:r w:rsidDel="00000000" w:rsidR="00000000" w:rsidRPr="00000000">
        <w:rPr>
          <w:rtl w:val="0"/>
        </w:rPr>
        <w:br w:type="textWrapping"/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146.25pt;height:146.25pt;rotation:0;z-index:-503316481;mso-position-horizontal-relative:margin;mso-position-horizontal:absolute;margin-left:142.875pt;mso-position-vertical-relative:margin;mso-position-vertical:absolute;margin-top:601.8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WCM4PYB+NjYioMUa1/CntRJUDg==">CgMxLjA4AHIhMXVpVW1BNzE4cmtHWTNFYmtRd3QtbFY5UFZWNTF0ZEtO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